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F6" w:rsidRDefault="00B015F6" w:rsidP="00B015F6">
      <w:pPr>
        <w:spacing w:after="279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t-BR"/>
        </w:rPr>
      </w:pPr>
      <w:r w:rsidRPr="00B015F6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t-BR"/>
        </w:rPr>
        <w:t>Estudos na maior necrópole judaica do Ciclo da Borracha em Gurupá (PA)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Texto: Joice Santos.</w:t>
      </w:r>
    </w:p>
    <w:p w:rsidR="00B015F6" w:rsidRPr="00B015F6" w:rsidRDefault="00B015F6" w:rsidP="00B015F6">
      <w:pPr>
        <w:spacing w:after="279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t-BR"/>
        </w:rPr>
      </w:pPr>
      <w:bookmarkStart w:id="0" w:name="_GoBack"/>
      <w:bookmarkEnd w:id="0"/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Com apoio de moradores, especialistas do Museu Goeldi desenvolvem o primeiro levantamento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etno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-arqueológico, localizam túmulos, registram e coletam histórias orais.  O município funcionou como posto avançado para comunidade judaica do século XIX até o início do século XX.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Os pioneiros chegaram entre 1810 e 1820, na sequência dos tratados assinados entre Portugal e Inglaterra, que abriram os portos e o comércio. A entrada na Amazônia foi a cidade de Belém do Grão Pará e as primeiras famílias judaicas eram, na maioria,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sefarditas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 originários da Península Ibérica e do norte da África, provenientes especialmente, do Marrocos. Coordenado pelo Museu Paraense Emílio Goeldi, um estudo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etno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-arqueológico no município paraense de Gurupá, arquipélago do Marajó, traz evidências da forte presença de judeus na história amazônica, a partir de estudos na maior necrópole judaica do Ciclo da Borracha.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A pesquisa no cemitério judaico de Gurupá, o maior em número de túmulos até agora identificado, está sendo feita pela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bioarqueóloga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 </w:t>
      </w:r>
      <w:hyperlink r:id="rId5" w:tgtFrame="_blank" w:history="1">
        <w:r w:rsidRPr="00B015F6">
          <w:rPr>
            <w:rFonts w:ascii="inherit" w:eastAsia="Times New Roman" w:hAnsi="inherit" w:cs="Times New Roman"/>
            <w:color w:val="333333"/>
            <w:sz w:val="23"/>
            <w:szCs w:val="23"/>
            <w:u w:val="single"/>
            <w:bdr w:val="none" w:sz="0" w:space="0" w:color="auto" w:frame="1"/>
            <w:lang w:eastAsia="pt-BR"/>
          </w:rPr>
          <w:t>Claudia Cunha</w:t>
        </w:r>
      </w:hyperlink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bolsista do Programa de Capacitação Institucional do Museu Goeldi, e pelos arqueólogos </w:t>
      </w:r>
      <w:hyperlink r:id="rId6" w:tgtFrame="_blank" w:history="1">
        <w:r w:rsidRPr="00B015F6">
          <w:rPr>
            <w:rFonts w:ascii="inherit" w:eastAsia="Times New Roman" w:hAnsi="inherit" w:cs="Times New Roman"/>
            <w:color w:val="333333"/>
            <w:sz w:val="23"/>
            <w:szCs w:val="23"/>
            <w:u w:val="single"/>
            <w:bdr w:val="none" w:sz="0" w:space="0" w:color="auto" w:frame="1"/>
            <w:lang w:eastAsia="pt-BR"/>
          </w:rPr>
          <w:t>Fernando Marques</w:t>
        </w:r>
      </w:hyperlink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pesquisador do Museu Goeldi, e </w:t>
      </w:r>
      <w:hyperlink r:id="rId7" w:tgtFrame="_blank" w:history="1">
        <w:r w:rsidRPr="00B015F6">
          <w:rPr>
            <w:rFonts w:ascii="inherit" w:eastAsia="Times New Roman" w:hAnsi="inherit" w:cs="Times New Roman"/>
            <w:color w:val="333333"/>
            <w:sz w:val="23"/>
            <w:szCs w:val="23"/>
            <w:u w:val="single"/>
            <w:bdr w:val="none" w:sz="0" w:space="0" w:color="auto" w:frame="1"/>
            <w:lang w:eastAsia="pt-BR"/>
          </w:rPr>
          <w:t>Diego Fonseca</w:t>
        </w:r>
      </w:hyperlink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 doutorando da Universidade Federal do Pará, com o envolvimento da comunidade local, principalmente escolares, professores e historiadores. Esse primeiro levantamento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etno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-arqueológico, ocorrido entre 3 e </w:t>
      </w:r>
      <w:r w:rsidRPr="00B015F6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>10 de julho</w:t>
      </w: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faz parte do projeto Origens, Cultura e Ambiente (</w:t>
      </w:r>
      <w:hyperlink r:id="rId8" w:tgtFrame="_blank" w:history="1">
        <w:r w:rsidRPr="00B015F6">
          <w:rPr>
            <w:rFonts w:ascii="inherit" w:eastAsia="Times New Roman" w:hAnsi="inherit" w:cs="Times New Roman"/>
            <w:color w:val="333333"/>
            <w:sz w:val="23"/>
            <w:szCs w:val="23"/>
            <w:u w:val="single"/>
            <w:bdr w:val="none" w:sz="0" w:space="0" w:color="auto" w:frame="1"/>
            <w:lang w:eastAsia="pt-BR"/>
          </w:rPr>
          <w:t>OCA</w:t>
        </w:r>
      </w:hyperlink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), coordenado pela arqueóloga </w:t>
      </w:r>
      <w:hyperlink r:id="rId9" w:tgtFrame="_blank" w:history="1">
        <w:r w:rsidRPr="00B015F6">
          <w:rPr>
            <w:rFonts w:ascii="inherit" w:eastAsia="Times New Roman" w:hAnsi="inherit" w:cs="Times New Roman"/>
            <w:color w:val="333333"/>
            <w:sz w:val="23"/>
            <w:szCs w:val="23"/>
            <w:u w:val="single"/>
            <w:bdr w:val="none" w:sz="0" w:space="0" w:color="auto" w:frame="1"/>
            <w:lang w:eastAsia="pt-BR"/>
          </w:rPr>
          <w:t>Helena Pinto Lima</w:t>
        </w:r>
      </w:hyperlink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do Museu Goeldi.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noProof/>
          <w:sz w:val="23"/>
          <w:szCs w:val="23"/>
          <w:bdr w:val="none" w:sz="0" w:space="0" w:color="auto" w:frame="1"/>
          <w:lang w:eastAsia="pt-BR"/>
        </w:rPr>
        <mc:AlternateContent>
          <mc:Choice Requires="wps">
            <w:drawing>
              <wp:inline distT="0" distB="0" distL="0" distR="0" wp14:anchorId="07225B28" wp14:editId="19994D86">
                <wp:extent cx="3009900" cy="228600"/>
                <wp:effectExtent l="0" t="0" r="0" b="0"/>
                <wp:docPr id="2" name="AutoShape 1" descr="É a maior necrópole judaica do Ciclo da Borrac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02C96" id="AutoShape 1" o:spid="_x0000_s1026" alt="É a maior necrópole judaica do Ciclo da Borracha" style="width:23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IV4gIAAPMFAAAOAAAAZHJzL2Uyb0RvYy54bWysVEtu2zAQ3RfoHQjuFX0ifyREDhLLLgqk&#10;bYC0B6BJymIrkSpJW0mLHqDn6RFysQ4p27GTTdFWC4Kcod7Mm3mci8v7tkFbro1QssDxWYQRl1Qx&#10;IdcF/vRxGUwxMpZIRholeYEfuMGXs9evLvou54mqVcO4RgAiTd53Ba6t7fIwNLTmLTFnquMSnJXS&#10;LbFw1OuQadIDetuESRSNw15p1mlFuTFgLQcnnnn8quLUfqgqwy1qCgy5Wb9qv67cGs4uSL7WpKsF&#10;3aVB/iKLlggJQQ9QJbEEbbR4AdUKqpVRlT2jqg1VVQnKPQdgE0fP2NzVpOOeCxTHdIcymf8HS99v&#10;bzUSrMAJRpK00KKrjVU+MooxYtxQKNfjT0QQkFQaSU71469ONRx93jAiKEFMobmgjUKMoGulNaE1&#10;cZXtO5NDgLvuVrvamO5G0S8GSTWviVzzK9NBf0A1EHlv0lr1NScMKMYOIjzBcAcDaGjVv1MMciWQ&#10;q6/7faVbFwMqiu59ex8O7eX3FlEwnkdRlkWgAgq+JJmOYe9CkHz/d6eNfcNVi9ymwBrS8+hke2Ps&#10;cHV/xQWTaimaBuwkb+SJATAHC8SGX53PZeEV8T2LssV0MU2DNBkvgjQqy+BqOU+D8TKejMrzcj4v&#10;4x8ubpzmtWCMSxdmr844/bPu797JoKuDPo1qBHNwLiWj16t5o9GWwOtY+m9XkKNr4Wkavl7A5Rml&#10;OEmj6yQLluPpJEiX6SjIJtE0iOLsOhtHaZaWy1NKN0Lyf6eE+gJno2Tku3SU9DNukf9eciN5KyzM&#10;n0a0BZ4eLpHcSXAhmW+tJaIZ9kelcOk/lQLavW+0F6zT6CD/lWIPoFetQE6gPJiUsKmV/oZRD1On&#10;wObrhmiOUfNWguazOE3dmPKHdDRJ4KCPPatjD5EUoApsMRq2czuMtk2nxbqGSLEvjFTuTVfCS9i9&#10;oSGr3euCyeKZ7KagG13HZ3/raVbPfgMAAP//AwBQSwMEFAAGAAgAAAAhAOqQAEzbAAAABAEAAA8A&#10;AABkcnMvZG93bnJldi54bWxMj0FLw0AQhe+C/2EZwYvYjVqqxGyKFMQiQjHVnqfZMQlmZ9PsNon/&#10;3tGLXh483vDeN9lycq0aqA+NZwNXswQUceltw5WBt+3j5R2oEJEttp7JwBcFWOanJxmm1o/8SkMR&#10;KyUlHFI0UMfYpVqHsiaHYeY7Ysk+fO8wiu0rbXscpdy1+jpJFtphw7JQY0ermsrP4ugMjOVm2G1f&#10;nvTmYrf2fFgfVsX7szHnZ9PDPahIU/w7hh98QYdcmPb+yDao1oA8En9VsvntXOzewM0iAZ1n+j98&#10;/g0AAP//AwBQSwECLQAUAAYACAAAACEAtoM4kv4AAADhAQAAEwAAAAAAAAAAAAAAAAAAAAAAW0Nv&#10;bnRlbnRfVHlwZXNdLnhtbFBLAQItABQABgAIAAAAIQA4/SH/1gAAAJQBAAALAAAAAAAAAAAAAAAA&#10;AC8BAABfcmVscy8ucmVsc1BLAQItABQABgAIAAAAIQBXDcIV4gIAAPMFAAAOAAAAAAAAAAAAAAAA&#10;AC4CAABkcnMvZTJvRG9jLnhtbFBLAQItABQABgAIAAAAIQDqkABM2wAAAAQ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Até o momento foram inventariados 29 túmulos, mas este número pode crescer, pois ainda não foi feito levantamento na totalidade da necrópole – há áreas que estão tomadas pelo mato, além da possibilidade de existirem sepulturas soterradas ao longo do tempo. “É necessário limpar a vegetação totalmente e talvez fazer a análise geofísica do espaço – uma técnica de imagem que não implica em escavação”, explica Claudia Cunha.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A equipe de arqueólogos e voluntários fizeram a limpeza dos túmulos e do cemitério, recolheram informações nas lápides e com os moradores da redondeza. Também cuidaram do levantamento gráfico e fotográfico do cemitério. Cunha ressalta que “toda a abordagem não foi invasiva e resultou em maior visibilidade do local, além de um trabalho de conscientização junto à comunidade do seu entorno para a proteção da necrópole”.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Segundo os especialistas, o levantamento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etno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-arqueológico aponta que, ao contabilizar o número de túmulos inventariados, o cemitério de Gurupá é a maior necrópole judaica do Ciclo da Borracha no Pará – a mais antiga necrópole judaica da Amazônia está localizada em Belém, onde também se encontra a mais antiga sinagoga em funcionamento no Brasil.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“Nesta campanha, já foram resgatados túmulos cobertos por vegetação, todavia, existem áreas no cemitério onde prováveis sepulturas estejam em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sub-superfície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o que irá requerer futuras intervenções para o correto mapeamento do cemitério. A maioria das sepulturas cujas datas ainda são visíveis são de fins do século XIX e inícios do século XX, embora alguns túmulos em tijoleira artesanal possam remeter a meados ou mesmo ao início do século XIX”, acrescenta Claudia Cunha.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inherit" w:eastAsia="Times New Roman" w:hAnsi="inherit" w:cs="Times New Roman"/>
          <w:b/>
          <w:bCs/>
          <w:sz w:val="23"/>
          <w:szCs w:val="23"/>
          <w:bdr w:val="none" w:sz="0" w:space="0" w:color="auto" w:frame="1"/>
          <w:lang w:eastAsia="pt-BR"/>
        </w:rPr>
        <w:t>Amazônia Judaica</w:t>
      </w: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 – Com a rota iniciando no Marrocos, os imigrantes judeus chegaram a Amazônia nas primeiras décadas do século XIX através da cidade de Belém, indo trabalhar, </w:t>
      </w: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lastRenderedPageBreak/>
        <w:t>inicialmente, no comércio de produtos industrializados da capital para o interior e de produtos do extrativismo florestal do interior para Belém. Era época dos famosos regatões que percorriam largas extensões dos rios amazônicos. Na década de 1840, esse comércio passou a ser dominado pelo extrativismo e exportação da borracha. A dependência do comércio de produtos originários da floresta motivou a presença judaica para o interior da região, propiciando a instalação dos imigrantes nas proximidades das áreas de captação dos produtos a serem exportados.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Até 1850 chegariam à Amazônia cerca de 300 famílias judaicas. Elas fugiam da pobreza,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super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 população, epidemias de cólera e peste bubônica, de perseguições e sofrimentos diversos como apedrejamento, além de destruição de sinagogas, como relatam em seus trabalhos Elias Salgado e Samuel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Benchimol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A arqueóloga Claudia Cunha pontua que “ainda na fase pioneira, jovens imigrantes recém chegados ao Brasil, que trabalhavam para casas comerciais de judeus estabelecidos em Belém, partiram para a região de Gurupá. A cidade tornou-se nesse período posto avançado destes comerciantes que logo mandavam buscar suas famílias ou noivas em Belém, na Espanha ou no Marrocos. Em Gurupá fixaram-se as famílias: Azulay,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Serfaty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Aben-Athar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Sicsú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Dabilla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Alcaim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Castiel, Levy, entre outras”.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No Brasil atual vive a </w:t>
      </w:r>
      <w:r w:rsidRPr="00B015F6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>segunda</w:t>
      </w: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 maior população de praticantes da religião judaica na América Latina, mas a quantidade de descendentes dos pioneiros judeus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sefarditas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 e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asquenazes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 é muito maior. Segundo Simon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Schwartzman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no final do século XX, os portadores dessa história seriam cerca de 400 mil brasileiros.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inherit" w:eastAsia="Times New Roman" w:hAnsi="inherit" w:cs="Times New Roman"/>
          <w:noProof/>
          <w:sz w:val="23"/>
          <w:szCs w:val="23"/>
          <w:bdr w:val="none" w:sz="0" w:space="0" w:color="auto" w:frame="1"/>
          <w:lang w:eastAsia="pt-BR"/>
        </w:rPr>
        <mc:AlternateContent>
          <mc:Choice Requires="wps">
            <w:drawing>
              <wp:inline distT="0" distB="0" distL="0" distR="0" wp14:anchorId="4C0FBD56" wp14:editId="7883C3E9">
                <wp:extent cx="2705100" cy="228600"/>
                <wp:effectExtent l="0" t="0" r="0" b="0"/>
                <wp:docPr id="1" name="AutoShape 2" descr="Até agora 29 túmulos já foram inventari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7BB5A" id="AutoShape 2" o:spid="_x0000_s1026" alt="Até agora 29 túmulos já foram inventariados" style="width:21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yc3wIAAO8FAAAOAAAAZHJzL2Uyb0RvYy54bWysVM2O0zAQviPxDpbv2fyQ/iTadNVtGoS0&#10;wEoLD+DGTmNI7GC7TRfEw3DkFbjuizF22m67e0FADpY943wz38znubzatQ3aMqW5FBkOLwKMmCgl&#10;5WKd4Y8fCm+KkTZEUNJIwTJ8zzS+mr18cdl3KYtkLRvKFAIQodO+y3BtTJf6vi5r1hJ9ITsmwFlJ&#10;1RIDR7X2qSI9oLeNHwXB2O+lop2SJdMarPngxDOHX1WsNO+rSjODmgxDbsatyq0ru/qzS5KuFelq&#10;Xu7TIH+RRUu4gKBHqJwYgjaKP4NqeamklpW5KGXry6riJXMcgE0YPGFzV5OOOS5QHN0dy6T/H2z5&#10;bnurEKfQO4wEaaFF842RLjKKMKJMl1CuuXn4ichaKoKiBJmHX+2mkRp9eviBoDekRVxsmTBEcUKl&#10;tlXtO50C+F13q2xddHcjy88aCbmoiVizue6gN0PUg0kp2deMUKAXWgj/DMMeNKChVf9WUsiTQJ6u&#10;5rtKtTYGVBPtXGvvj61lO4NKMEaTYBQGoIASfFE0HcPehiDp4e9OafOayRbZTYYVpOfQyfZGm+Hq&#10;4YoNJmTBmwbsJG3EmQEwBwvEhl+tz2bh1PAtCZLldDmNvTgaL704yHNvXixib1yEk1H+Kl8s8vC7&#10;jRvGac0pZcKGOSgzjP+s8/s3MmjqqE0tG04tnE1Jq/Vq0Si0JfAyCvftC3JyzT9Pw9ULuDyhFEZx&#10;cB0lXjGeTry4iEdeMgmmXhAm18k4iJM4L84p3XDB/p0S6jOcjKKR69JJ0k+4Be57zo2kLTcwexre&#10;Znh6vERSK8GloK61hvBm2J+Uwqb/WApo96HRTrBWo4P8V5Leg16VBDmB8mBKwqaW6itGPUycDOsv&#10;G6IYRs0bAZpPwji2I8od4tEkgoM69axOPUSUAJVhg9GwXZhhrG06xdc1RApdYYS077niTsL2DQ1Z&#10;7V8XTBXHZD8B7dg6Pbtbj3N69hsAAP//AwBQSwMEFAAGAAgAAAAhACXRAnvaAAAABAEAAA8AAABk&#10;cnMvZG93bnJldi54bWxMj0FLw0AQhe+C/2EZwYvYjVWKxEyKFMQiQmmqPW+zYxLMzqbZbRL/vaMX&#10;vczweMOb72XLybVqoD40nhFuZgko4tLbhiuEt93T9T2oEA1b03omhC8KsMzPzzKTWj/yloYiVkpC&#10;OKQGoY6xS7UOZU3OhJnviMX78L0zUWRfadubUcJdq+dJstDONCwfatPRqqbyszg5hLHcDPvd67Pe&#10;XO3Xno/r46p4f0G8vJgeH0BFmuLfMfzgCzrkwnTwJ7ZBtQhSJP5O8e7mC5EHhFvZOs/0f/j8GwAA&#10;//8DAFBLAQItABQABgAIAAAAIQC2gziS/gAAAOEBAAATAAAAAAAAAAAAAAAAAAAAAABbQ29udGVu&#10;dF9UeXBlc10ueG1sUEsBAi0AFAAGAAgAAAAhADj9If/WAAAAlAEAAAsAAAAAAAAAAAAAAAAALwEA&#10;AF9yZWxzLy5yZWxzUEsBAi0AFAAGAAgAAAAhAL7FLJzfAgAA7wUAAA4AAAAAAAAAAAAAAAAALgIA&#10;AGRycy9lMm9Eb2MueG1sUEsBAi0AFAAGAAgAAAAhACXRAnvaAAAABA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eastAsia="pt-BR"/>
        </w:rPr>
        <w:t>Hoje</w:t>
      </w: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, em Gurupá, os pesquisadores do Museu Goeldi contam que existem descendentes das famílias judaicas, mas, até onde sabem, esses já não praticam a religião judaica. Cássia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Benathar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professora e historiadora do município, é uma das descendentes das famílias pioneiras que estão engajadas como voluntária na pesquisa e na limpeza da necrópole judaica e estará envolvida nos futuros estudos sobre o espaço.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A população sabia do local, mas as visitas normalmente restringiam-se a pessoas de fora que ouviam falar do cemitério e visitavam o espaço. Claudia explica que há uma certa resistência a visitar cemitérios, quando a maioria das pessoas não reconhece um parentesco com os mortos. Muitas das lápides estão escritas apenas em hebraico e não havendo quem as leia, não reconhecem o morto como familiar. As sepulturas que estão em português ou nas duas línguas suscitam mais memórias.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“Até há algumas décadas, D. Raimunda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Sabá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 tomava conta do cemitério na sua vizinhança, mas já está idosa. Esporadicamente, descendentes tentam cuidar dos túmulos de familiares”, explica Claudia Cunha. Por sua vez, a prefeitura de Gurupá cortou recentemente parte da vegetação invasora da necrópole a pedido dos vizinhos, que o viam se tornar um local de consumo de álcool e drogas. “No nosso primeiro dia para conhecer e investigar o cemitério, retiramos montes (literalmente) de folhas e galhos cortados pela prefeitura durante a última capina do local e três sacos de 100 litros de lixo composto na sua maioria de plástico, papel e vidro”, relembra a arqueóloga.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 xml:space="preserve">Dominando fluentemente o inglês e o francês, os imigrantes judeus se tornaram exportadores, liderando negócios no exterior, participando de congressos e exposições. Segundo Samuel </w:t>
      </w:r>
      <w:proofErr w:type="spellStart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Benchimol</w:t>
      </w:r>
      <w:proofErr w:type="spellEnd"/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, “na época da crise da borracha, quando os exportadores ingleses, alemães e franceses abandonaram Manaus e Belém, coube aos judeus marroquinos brasileiros substituí-los nessas funções, fornecendo à sociedade local a liderança econômica e social necessária para sobreviver nas décadas de depressão e débâcle da borracha”.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Com as escavações na necrópole judaica do município de Gurupá teremos a chance de conhecer e entender mais um pouco da saga dos imigrantes pioneiros que ajudaram a escrever a história recente da Amazônia.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Texto: Joice Santos.</w:t>
      </w:r>
    </w:p>
    <w:p w:rsidR="00B015F6" w:rsidRPr="00B015F6" w:rsidRDefault="00B015F6" w:rsidP="00B015F6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VER MAIS EM: </w:t>
      </w:r>
      <w:hyperlink r:id="rId10" w:history="1">
        <w:r w:rsidRPr="00B015F6">
          <w:rPr>
            <w:rFonts w:ascii="inherit" w:eastAsia="Times New Roman" w:hAnsi="inherit" w:cs="Times New Roman"/>
            <w:color w:val="333333"/>
            <w:sz w:val="23"/>
            <w:szCs w:val="23"/>
            <w:u w:val="single"/>
            <w:bdr w:val="none" w:sz="0" w:space="0" w:color="auto" w:frame="1"/>
            <w:lang w:eastAsia="pt-BR"/>
          </w:rPr>
          <w:t>Agência Museu Goeldi</w:t>
        </w:r>
      </w:hyperlink>
      <w:r w:rsidRPr="00B015F6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pt-BR"/>
        </w:rPr>
        <w:t> </w:t>
      </w:r>
    </w:p>
    <w:p w:rsidR="00B015F6" w:rsidRPr="00B015F6" w:rsidRDefault="00B015F6" w:rsidP="00B015F6">
      <w:pPr>
        <w:spacing w:after="384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inherit" w:eastAsia="Times New Roman" w:hAnsi="inherit" w:cs="Times New Roman"/>
          <w:sz w:val="23"/>
          <w:szCs w:val="23"/>
          <w:lang w:eastAsia="pt-BR"/>
        </w:rPr>
        <w:t> </w:t>
      </w:r>
    </w:p>
    <w:p w:rsidR="00B015F6" w:rsidRPr="00B015F6" w:rsidRDefault="00B015F6" w:rsidP="00B015F6">
      <w:pPr>
        <w:spacing w:after="384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pt-BR"/>
        </w:rPr>
      </w:pPr>
      <w:r w:rsidRPr="00B015F6">
        <w:rPr>
          <w:rFonts w:ascii="inherit" w:eastAsia="Times New Roman" w:hAnsi="inherit" w:cs="Times New Roman"/>
          <w:sz w:val="23"/>
          <w:szCs w:val="23"/>
          <w:lang w:eastAsia="pt-BR"/>
        </w:rPr>
        <w:t> </w:t>
      </w:r>
    </w:p>
    <w:p w:rsidR="00B015F6" w:rsidRPr="00B015F6" w:rsidRDefault="00B015F6" w:rsidP="00B015F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B015F6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B61BE0" w:rsidRDefault="00B61BE0"/>
    <w:sectPr w:rsidR="00B61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974C1"/>
    <w:multiLevelType w:val="multilevel"/>
    <w:tmpl w:val="B070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F6"/>
    <w:rsid w:val="00B015F6"/>
    <w:rsid w:val="00B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6FCC-F3C4-4297-A82B-5370398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52068">
          <w:marLeft w:val="950"/>
          <w:marRight w:val="950"/>
          <w:marTop w:val="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-goeldi.br/portal/content/come-aram-escava-es-no-forte-de-santo-ant-nio-de-gurup-no-mar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catextual.cnpq.br/buscatextual/visualizacv.do?id=K4202283T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catextual.cnpq.br/buscatextual/visualizacv.do?id=K4787257D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uscatextual.cnpq.br/buscatextual/visualizacv.do?id=K4184231T0" TargetMode="External"/><Relationship Id="rId10" Type="http://schemas.openxmlformats.org/officeDocument/2006/relationships/hyperlink" Target="http://www.museu-goeldi.br/portal/noticias/ag%C3%AAncia-museu-goe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id=K4280682D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1263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Estudos na maior necrópole judaica do Ciclo da Borracha em Gurupá (PA)</vt:lpstr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2021-02-20T14:06:00Z</dcterms:created>
  <dcterms:modified xsi:type="dcterms:W3CDTF">2021-02-20T14:10:00Z</dcterms:modified>
</cp:coreProperties>
</file>