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5F6" w:rsidRDefault="00B015F6" w:rsidP="00B015F6">
      <w:pPr>
        <w:spacing w:after="279" w:line="240" w:lineRule="auto"/>
        <w:textAlignment w:val="baseline"/>
        <w:outlineLvl w:val="0"/>
        <w:rPr>
          <w:rFonts w:ascii="inherit" w:eastAsia="Times New Roman" w:hAnsi="inherit" w:cs="Times New Roman"/>
          <w:b/>
          <w:bCs/>
          <w:kern w:val="36"/>
          <w:sz w:val="48"/>
          <w:szCs w:val="48"/>
          <w:lang w:eastAsia="pt-BR"/>
        </w:rPr>
      </w:pPr>
      <w:r w:rsidRPr="00B015F6">
        <w:rPr>
          <w:rFonts w:ascii="inherit" w:eastAsia="Times New Roman" w:hAnsi="inherit" w:cs="Times New Roman"/>
          <w:b/>
          <w:bCs/>
          <w:kern w:val="36"/>
          <w:sz w:val="48"/>
          <w:szCs w:val="48"/>
          <w:lang w:eastAsia="pt-BR"/>
        </w:rPr>
        <w:t>Estudos na maior necrópole judaica do Ciclo da Borracha em Gurupá (PA)</w:t>
      </w:r>
    </w:p>
    <w:p w:rsidR="00B015F6" w:rsidRPr="00B015F6" w:rsidRDefault="00B015F6" w:rsidP="00B015F6">
      <w:pPr>
        <w:spacing w:after="0" w:line="240" w:lineRule="auto"/>
        <w:textAlignment w:val="baseline"/>
        <w:rPr>
          <w:rFonts w:ascii="inherit" w:eastAsia="Times New Roman" w:hAnsi="inherit" w:cs="Times New Roman"/>
          <w:sz w:val="23"/>
          <w:szCs w:val="23"/>
          <w:lang w:eastAsia="pt-BR"/>
        </w:rPr>
      </w:pPr>
      <w:r w:rsidRPr="00B015F6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eastAsia="pt-BR"/>
        </w:rPr>
        <w:t>Texto: Joice Santos.</w:t>
      </w:r>
    </w:p>
    <w:p w:rsidR="00B015F6" w:rsidRPr="00B015F6" w:rsidRDefault="00B015F6" w:rsidP="00B015F6">
      <w:pPr>
        <w:spacing w:after="279" w:line="240" w:lineRule="auto"/>
        <w:textAlignment w:val="baseline"/>
        <w:outlineLvl w:val="0"/>
        <w:rPr>
          <w:rFonts w:ascii="inherit" w:eastAsia="Times New Roman" w:hAnsi="inherit" w:cs="Times New Roman"/>
          <w:b/>
          <w:bCs/>
          <w:kern w:val="36"/>
          <w:sz w:val="48"/>
          <w:szCs w:val="48"/>
          <w:lang w:eastAsia="pt-BR"/>
        </w:rPr>
      </w:pPr>
      <w:bookmarkStart w:id="0" w:name="_GoBack"/>
      <w:bookmarkEnd w:id="0"/>
    </w:p>
    <w:p w:rsidR="00B015F6" w:rsidRPr="00B015F6" w:rsidRDefault="00B015F6" w:rsidP="00B015F6">
      <w:pPr>
        <w:spacing w:after="0" w:line="240" w:lineRule="auto"/>
        <w:textAlignment w:val="baseline"/>
        <w:rPr>
          <w:rFonts w:ascii="inherit" w:eastAsia="Times New Roman" w:hAnsi="inherit" w:cs="Times New Roman"/>
          <w:sz w:val="23"/>
          <w:szCs w:val="23"/>
          <w:lang w:eastAsia="pt-BR"/>
        </w:rPr>
      </w:pPr>
      <w:r w:rsidRPr="00B015F6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eastAsia="pt-BR"/>
        </w:rPr>
        <w:t xml:space="preserve">Com apoio de moradores, especialistas do Museu Goeldi desenvolvem o primeiro levantamento </w:t>
      </w:r>
      <w:proofErr w:type="spellStart"/>
      <w:r w:rsidRPr="00B015F6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eastAsia="pt-BR"/>
        </w:rPr>
        <w:t>etno</w:t>
      </w:r>
      <w:proofErr w:type="spellEnd"/>
      <w:r w:rsidRPr="00B015F6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eastAsia="pt-BR"/>
        </w:rPr>
        <w:t>-arqueológico, localizam túmulos, registram e coletam histórias orais.  O município funcionou como posto avançado para comunidade judaica do século XIX até o início do século XX.</w:t>
      </w:r>
    </w:p>
    <w:p w:rsidR="00B015F6" w:rsidRPr="00B015F6" w:rsidRDefault="00B015F6" w:rsidP="00B015F6">
      <w:pPr>
        <w:spacing w:after="0" w:line="240" w:lineRule="auto"/>
        <w:textAlignment w:val="baseline"/>
        <w:rPr>
          <w:rFonts w:ascii="inherit" w:eastAsia="Times New Roman" w:hAnsi="inherit" w:cs="Times New Roman"/>
          <w:sz w:val="23"/>
          <w:szCs w:val="23"/>
          <w:lang w:eastAsia="pt-BR"/>
        </w:rPr>
      </w:pPr>
      <w:r w:rsidRPr="00B015F6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eastAsia="pt-BR"/>
        </w:rPr>
        <w:t xml:space="preserve">Os pioneiros chegaram entre 1810 e 1820, na sequência dos tratados assinados entre Portugal e Inglaterra, que abriram os portos e o comércio. A entrada na Amazônia foi a cidade de Belém do Grão Pará e as primeiras famílias judaicas eram, na maioria, </w:t>
      </w:r>
      <w:proofErr w:type="spellStart"/>
      <w:r w:rsidRPr="00B015F6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eastAsia="pt-BR"/>
        </w:rPr>
        <w:t>sefarditas</w:t>
      </w:r>
      <w:proofErr w:type="spellEnd"/>
      <w:r w:rsidRPr="00B015F6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eastAsia="pt-BR"/>
        </w:rPr>
        <w:t xml:space="preserve">, originários da Península Ibérica e do norte da África, provenientes especialmente, do Marrocos. Coordenado pelo Museu Paraense Emílio Goeldi, um estudo </w:t>
      </w:r>
      <w:proofErr w:type="spellStart"/>
      <w:r w:rsidRPr="00B015F6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eastAsia="pt-BR"/>
        </w:rPr>
        <w:t>etno</w:t>
      </w:r>
      <w:proofErr w:type="spellEnd"/>
      <w:r w:rsidRPr="00B015F6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eastAsia="pt-BR"/>
        </w:rPr>
        <w:t>-arqueológico no município paraense de Gurupá, arquipélago do Marajó, traz evidências da forte presença de judeus na história amazônica, a partir de estudos na maior necrópole judaica do Ciclo da Borracha.</w:t>
      </w:r>
    </w:p>
    <w:p w:rsidR="00B015F6" w:rsidRPr="00B015F6" w:rsidRDefault="00B015F6" w:rsidP="00B015F6">
      <w:pPr>
        <w:spacing w:after="0" w:line="240" w:lineRule="auto"/>
        <w:textAlignment w:val="baseline"/>
        <w:rPr>
          <w:rFonts w:ascii="inherit" w:eastAsia="Times New Roman" w:hAnsi="inherit" w:cs="Times New Roman"/>
          <w:sz w:val="23"/>
          <w:szCs w:val="23"/>
          <w:lang w:eastAsia="pt-BR"/>
        </w:rPr>
      </w:pPr>
      <w:r w:rsidRPr="00B015F6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eastAsia="pt-BR"/>
        </w:rPr>
        <w:t xml:space="preserve">A pesquisa no cemitério judaico de Gurupá, o maior em número de túmulos até agora identificado, está sendo feita pela </w:t>
      </w:r>
      <w:proofErr w:type="spellStart"/>
      <w:r w:rsidRPr="00B015F6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eastAsia="pt-BR"/>
        </w:rPr>
        <w:t>bioarqueóloga</w:t>
      </w:r>
      <w:proofErr w:type="spellEnd"/>
      <w:r w:rsidRPr="00B015F6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eastAsia="pt-BR"/>
        </w:rPr>
        <w:t> </w:t>
      </w:r>
      <w:hyperlink r:id="rId5" w:tgtFrame="_blank" w:history="1">
        <w:r w:rsidRPr="00B015F6">
          <w:rPr>
            <w:rFonts w:ascii="inherit" w:eastAsia="Times New Roman" w:hAnsi="inherit" w:cs="Times New Roman"/>
            <w:color w:val="333333"/>
            <w:sz w:val="23"/>
            <w:szCs w:val="23"/>
            <w:u w:val="single"/>
            <w:bdr w:val="none" w:sz="0" w:space="0" w:color="auto" w:frame="1"/>
            <w:lang w:eastAsia="pt-BR"/>
          </w:rPr>
          <w:t>Claudia Cunha</w:t>
        </w:r>
      </w:hyperlink>
      <w:r w:rsidRPr="00B015F6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eastAsia="pt-BR"/>
        </w:rPr>
        <w:t>, bolsista do Programa de Capacitação Institucional do Museu Goeldi, e pelos arqueólogos </w:t>
      </w:r>
      <w:hyperlink r:id="rId6" w:tgtFrame="_blank" w:history="1">
        <w:r w:rsidRPr="00B015F6">
          <w:rPr>
            <w:rFonts w:ascii="inherit" w:eastAsia="Times New Roman" w:hAnsi="inherit" w:cs="Times New Roman"/>
            <w:color w:val="333333"/>
            <w:sz w:val="23"/>
            <w:szCs w:val="23"/>
            <w:u w:val="single"/>
            <w:bdr w:val="none" w:sz="0" w:space="0" w:color="auto" w:frame="1"/>
            <w:lang w:eastAsia="pt-BR"/>
          </w:rPr>
          <w:t>Fernando Marques</w:t>
        </w:r>
      </w:hyperlink>
      <w:r w:rsidRPr="00B015F6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eastAsia="pt-BR"/>
        </w:rPr>
        <w:t>, pesquisador do Museu Goeldi, e </w:t>
      </w:r>
      <w:hyperlink r:id="rId7" w:tgtFrame="_blank" w:history="1">
        <w:r w:rsidRPr="00B015F6">
          <w:rPr>
            <w:rFonts w:ascii="inherit" w:eastAsia="Times New Roman" w:hAnsi="inherit" w:cs="Times New Roman"/>
            <w:color w:val="333333"/>
            <w:sz w:val="23"/>
            <w:szCs w:val="23"/>
            <w:u w:val="single"/>
            <w:bdr w:val="none" w:sz="0" w:space="0" w:color="auto" w:frame="1"/>
            <w:lang w:eastAsia="pt-BR"/>
          </w:rPr>
          <w:t>Diego Fonseca</w:t>
        </w:r>
      </w:hyperlink>
      <w:r w:rsidRPr="00B015F6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eastAsia="pt-BR"/>
        </w:rPr>
        <w:t xml:space="preserve">, doutorando da Universidade Federal do Pará, com o envolvimento da comunidade local, principalmente escolares, professores e historiadores. Esse primeiro levantamento </w:t>
      </w:r>
      <w:proofErr w:type="spellStart"/>
      <w:r w:rsidRPr="00B015F6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eastAsia="pt-BR"/>
        </w:rPr>
        <w:t>etno</w:t>
      </w:r>
      <w:proofErr w:type="spellEnd"/>
      <w:r w:rsidRPr="00B015F6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eastAsia="pt-BR"/>
        </w:rPr>
        <w:t>-arqueológico, ocorrido entre 3 e </w:t>
      </w:r>
      <w:r w:rsidRPr="00B015F6">
        <w:rPr>
          <w:rFonts w:ascii="inherit" w:eastAsia="Times New Roman" w:hAnsi="inherit" w:cs="Times New Roman"/>
          <w:sz w:val="23"/>
          <w:szCs w:val="23"/>
          <w:bdr w:val="none" w:sz="0" w:space="0" w:color="auto" w:frame="1"/>
          <w:lang w:eastAsia="pt-BR"/>
        </w:rPr>
        <w:t>10 de julho</w:t>
      </w:r>
      <w:r w:rsidRPr="00B015F6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eastAsia="pt-BR"/>
        </w:rPr>
        <w:t>, faz parte do projeto Origens, Cultura e Ambiente (</w:t>
      </w:r>
      <w:hyperlink r:id="rId8" w:tgtFrame="_blank" w:history="1">
        <w:r w:rsidRPr="00B015F6">
          <w:rPr>
            <w:rFonts w:ascii="inherit" w:eastAsia="Times New Roman" w:hAnsi="inherit" w:cs="Times New Roman"/>
            <w:color w:val="333333"/>
            <w:sz w:val="23"/>
            <w:szCs w:val="23"/>
            <w:u w:val="single"/>
            <w:bdr w:val="none" w:sz="0" w:space="0" w:color="auto" w:frame="1"/>
            <w:lang w:eastAsia="pt-BR"/>
          </w:rPr>
          <w:t>OCA</w:t>
        </w:r>
      </w:hyperlink>
      <w:r w:rsidRPr="00B015F6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eastAsia="pt-BR"/>
        </w:rPr>
        <w:t>), coordenado pela arqueóloga </w:t>
      </w:r>
      <w:hyperlink r:id="rId9" w:tgtFrame="_blank" w:history="1">
        <w:r w:rsidRPr="00B015F6">
          <w:rPr>
            <w:rFonts w:ascii="inherit" w:eastAsia="Times New Roman" w:hAnsi="inherit" w:cs="Times New Roman"/>
            <w:color w:val="333333"/>
            <w:sz w:val="23"/>
            <w:szCs w:val="23"/>
            <w:u w:val="single"/>
            <w:bdr w:val="none" w:sz="0" w:space="0" w:color="auto" w:frame="1"/>
            <w:lang w:eastAsia="pt-BR"/>
          </w:rPr>
          <w:t>Helena Pinto Lima</w:t>
        </w:r>
      </w:hyperlink>
      <w:r w:rsidRPr="00B015F6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eastAsia="pt-BR"/>
        </w:rPr>
        <w:t>, do Museu Goeldi.</w:t>
      </w:r>
    </w:p>
    <w:p w:rsidR="00B015F6" w:rsidRPr="00B015F6" w:rsidRDefault="00B015F6" w:rsidP="00B015F6">
      <w:pPr>
        <w:spacing w:after="0" w:line="240" w:lineRule="auto"/>
        <w:textAlignment w:val="baseline"/>
        <w:rPr>
          <w:rFonts w:ascii="inherit" w:eastAsia="Times New Roman" w:hAnsi="inherit" w:cs="Times New Roman"/>
          <w:sz w:val="23"/>
          <w:szCs w:val="23"/>
          <w:lang w:eastAsia="pt-BR"/>
        </w:rPr>
      </w:pPr>
      <w:r w:rsidRPr="00B015F6">
        <w:rPr>
          <w:rFonts w:ascii="Times New Roman" w:eastAsia="Times New Roman" w:hAnsi="Times New Roman" w:cs="Times New Roman"/>
          <w:noProof/>
          <w:sz w:val="23"/>
          <w:szCs w:val="23"/>
          <w:bdr w:val="none" w:sz="0" w:space="0" w:color="auto" w:frame="1"/>
          <w:lang w:eastAsia="pt-BR"/>
        </w:rPr>
        <mc:AlternateContent>
          <mc:Choice Requires="wps">
            <w:drawing>
              <wp:inline distT="0" distB="0" distL="0" distR="0" wp14:anchorId="07225B28" wp14:editId="19994D86">
                <wp:extent cx="3009900" cy="228600"/>
                <wp:effectExtent l="0" t="0" r="0" b="0"/>
                <wp:docPr id="2" name="AutoShape 1" descr="É a maior necrópole judaica do Ciclo da Borrach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9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A02C96" id="AutoShape 1" o:spid="_x0000_s1026" alt="É a maior necrópole judaica do Ciclo da Borracha" style="width:237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</w:p>
    <w:p w:rsidR="00B015F6" w:rsidRPr="00B015F6" w:rsidRDefault="00B015F6" w:rsidP="00B015F6">
      <w:pPr>
        <w:spacing w:after="0" w:line="240" w:lineRule="auto"/>
        <w:textAlignment w:val="baseline"/>
        <w:rPr>
          <w:rFonts w:ascii="inherit" w:eastAsia="Times New Roman" w:hAnsi="inherit" w:cs="Times New Roman"/>
          <w:sz w:val="23"/>
          <w:szCs w:val="23"/>
          <w:lang w:eastAsia="pt-BR"/>
        </w:rPr>
      </w:pPr>
      <w:r w:rsidRPr="00B015F6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eastAsia="pt-BR"/>
        </w:rPr>
        <w:t>Até o momento foram inventariados 29 túmulos, mas este número pode crescer, pois ainda não foi feito levantamento na totalidade da necrópole – há áreas que estão tomadas pelo mato, além da possibilidade de existirem sepulturas soterradas ao longo do tempo. “É necessário limpar a vegetação totalmente e talvez fazer a análise geofísica do espaço – uma técnica de imagem que não implica em escavação”, explica Claudia Cunha.</w:t>
      </w:r>
    </w:p>
    <w:p w:rsidR="00B015F6" w:rsidRPr="00B015F6" w:rsidRDefault="00B015F6" w:rsidP="00B015F6">
      <w:pPr>
        <w:spacing w:after="0" w:line="240" w:lineRule="auto"/>
        <w:textAlignment w:val="baseline"/>
        <w:rPr>
          <w:rFonts w:ascii="inherit" w:eastAsia="Times New Roman" w:hAnsi="inherit" w:cs="Times New Roman"/>
          <w:sz w:val="23"/>
          <w:szCs w:val="23"/>
          <w:lang w:eastAsia="pt-BR"/>
        </w:rPr>
      </w:pPr>
      <w:r w:rsidRPr="00B015F6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eastAsia="pt-BR"/>
        </w:rPr>
        <w:t>A equipe de arqueólogos e voluntários fizeram a limpeza dos túmulos e do cemitério, recolheram informações nas lápides e com os moradores da redondeza. Também cuidaram do levantamento gráfico e fotográfico do cemitério. Cunha ressalta que “toda a abordagem não foi invasiva e resultou em maior visibilidade do local, além de um trabalho de conscientização junto à comunidade do seu entorno para a proteção da necrópole”.</w:t>
      </w:r>
    </w:p>
    <w:p w:rsidR="00B015F6" w:rsidRPr="00B015F6" w:rsidRDefault="00B015F6" w:rsidP="00B015F6">
      <w:pPr>
        <w:spacing w:after="0" w:line="240" w:lineRule="auto"/>
        <w:textAlignment w:val="baseline"/>
        <w:rPr>
          <w:rFonts w:ascii="inherit" w:eastAsia="Times New Roman" w:hAnsi="inherit" w:cs="Times New Roman"/>
          <w:sz w:val="23"/>
          <w:szCs w:val="23"/>
          <w:lang w:eastAsia="pt-BR"/>
        </w:rPr>
      </w:pPr>
      <w:r w:rsidRPr="00B015F6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eastAsia="pt-BR"/>
        </w:rPr>
        <w:t xml:space="preserve">Segundo os especialistas, o levantamento </w:t>
      </w:r>
      <w:proofErr w:type="spellStart"/>
      <w:r w:rsidRPr="00B015F6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eastAsia="pt-BR"/>
        </w:rPr>
        <w:t>etno</w:t>
      </w:r>
      <w:proofErr w:type="spellEnd"/>
      <w:r w:rsidRPr="00B015F6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eastAsia="pt-BR"/>
        </w:rPr>
        <w:t>-arqueológico aponta que, ao contabilizar o número de túmulos inventariados, o cemitério de Gurupá é a maior necrópole judaica do Ciclo da Borracha no Pará – a mais antiga necrópole judaica da Amazônia está localizada em Belém, onde também se encontra a mais antiga sinagoga em funcionamento no Brasil.</w:t>
      </w:r>
    </w:p>
    <w:p w:rsidR="00B015F6" w:rsidRPr="00B015F6" w:rsidRDefault="00B015F6" w:rsidP="00B015F6">
      <w:pPr>
        <w:spacing w:after="0" w:line="240" w:lineRule="auto"/>
        <w:textAlignment w:val="baseline"/>
        <w:rPr>
          <w:rFonts w:ascii="inherit" w:eastAsia="Times New Roman" w:hAnsi="inherit" w:cs="Times New Roman"/>
          <w:sz w:val="23"/>
          <w:szCs w:val="23"/>
          <w:lang w:eastAsia="pt-BR"/>
        </w:rPr>
      </w:pPr>
      <w:r w:rsidRPr="00B015F6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eastAsia="pt-BR"/>
        </w:rPr>
        <w:t xml:space="preserve">“Nesta campanha, já foram resgatados túmulos cobertos por vegetação, todavia, existem áreas no cemitério onde prováveis sepulturas estejam em </w:t>
      </w:r>
      <w:proofErr w:type="spellStart"/>
      <w:r w:rsidRPr="00B015F6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eastAsia="pt-BR"/>
        </w:rPr>
        <w:t>sub-superfície</w:t>
      </w:r>
      <w:proofErr w:type="spellEnd"/>
      <w:r w:rsidRPr="00B015F6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eastAsia="pt-BR"/>
        </w:rPr>
        <w:t>, o que irá requerer futuras intervenções para o correto mapeamento do cemitério. A maioria das sepulturas cujas datas ainda são visíveis são de fins do século XIX e inícios do século XX, embora alguns túmulos em tijoleira artesanal possam remeter a meados ou mesmo ao início do século XIX”, acrescenta Claudia Cunha.</w:t>
      </w:r>
    </w:p>
    <w:p w:rsidR="00B015F6" w:rsidRPr="00B015F6" w:rsidRDefault="00B015F6" w:rsidP="00B015F6">
      <w:pPr>
        <w:spacing w:after="0" w:line="240" w:lineRule="auto"/>
        <w:textAlignment w:val="baseline"/>
        <w:rPr>
          <w:rFonts w:ascii="inherit" w:eastAsia="Times New Roman" w:hAnsi="inherit" w:cs="Times New Roman"/>
          <w:sz w:val="23"/>
          <w:szCs w:val="23"/>
          <w:lang w:eastAsia="pt-BR"/>
        </w:rPr>
      </w:pPr>
      <w:r w:rsidRPr="00B015F6">
        <w:rPr>
          <w:rFonts w:ascii="inherit" w:eastAsia="Times New Roman" w:hAnsi="inherit" w:cs="Times New Roman"/>
          <w:b/>
          <w:bCs/>
          <w:sz w:val="23"/>
          <w:szCs w:val="23"/>
          <w:bdr w:val="none" w:sz="0" w:space="0" w:color="auto" w:frame="1"/>
          <w:lang w:eastAsia="pt-BR"/>
        </w:rPr>
        <w:t>Amazônia Judaica</w:t>
      </w:r>
      <w:r w:rsidRPr="00B015F6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eastAsia="pt-BR"/>
        </w:rPr>
        <w:t xml:space="preserve"> – Com a rota iniciando no Marrocos, os imigrantes judeus chegaram a Amazônia nas primeiras décadas do século XIX através da cidade de Belém, indo trabalhar, </w:t>
      </w:r>
      <w:r w:rsidRPr="00B015F6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eastAsia="pt-BR"/>
        </w:rPr>
        <w:lastRenderedPageBreak/>
        <w:t>inicialmente, no comércio de produtos industrializados da capital para o interior e de produtos do extrativismo florestal do interior para Belém. Era época dos famosos regatões que percorriam largas extensões dos rios amazônicos. Na década de 1840, esse comércio passou a ser dominado pelo extrativismo e exportação da borracha. A dependência do comércio de produtos originários da floresta motivou a presença judaica para o interior da região, propiciando a instalação dos imigrantes nas proximidades das áreas de captação dos produtos a serem exportados.</w:t>
      </w:r>
    </w:p>
    <w:p w:rsidR="00B015F6" w:rsidRPr="00B015F6" w:rsidRDefault="00B015F6" w:rsidP="00B015F6">
      <w:pPr>
        <w:spacing w:after="0" w:line="240" w:lineRule="auto"/>
        <w:textAlignment w:val="baseline"/>
        <w:rPr>
          <w:rFonts w:ascii="inherit" w:eastAsia="Times New Roman" w:hAnsi="inherit" w:cs="Times New Roman"/>
          <w:sz w:val="23"/>
          <w:szCs w:val="23"/>
          <w:lang w:eastAsia="pt-BR"/>
        </w:rPr>
      </w:pPr>
      <w:r w:rsidRPr="00B015F6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eastAsia="pt-BR"/>
        </w:rPr>
        <w:t xml:space="preserve">Até 1850 chegariam à Amazônia cerca de 300 famílias judaicas. Elas fugiam da pobreza, </w:t>
      </w:r>
      <w:proofErr w:type="spellStart"/>
      <w:r w:rsidRPr="00B015F6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eastAsia="pt-BR"/>
        </w:rPr>
        <w:t>super</w:t>
      </w:r>
      <w:proofErr w:type="spellEnd"/>
      <w:r w:rsidRPr="00B015F6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eastAsia="pt-BR"/>
        </w:rPr>
        <w:t xml:space="preserve"> população, epidemias de cólera e peste bubônica, de perseguições e sofrimentos diversos como apedrejamento, além de destruição de sinagogas, como relatam em seus trabalhos Elias Salgado e Samuel </w:t>
      </w:r>
      <w:proofErr w:type="spellStart"/>
      <w:r w:rsidRPr="00B015F6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eastAsia="pt-BR"/>
        </w:rPr>
        <w:t>Benchimol</w:t>
      </w:r>
      <w:proofErr w:type="spellEnd"/>
      <w:r w:rsidRPr="00B015F6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eastAsia="pt-BR"/>
        </w:rPr>
        <w:t>.</w:t>
      </w:r>
    </w:p>
    <w:p w:rsidR="00B015F6" w:rsidRPr="00B015F6" w:rsidRDefault="00B015F6" w:rsidP="00B015F6">
      <w:pPr>
        <w:spacing w:after="0" w:line="240" w:lineRule="auto"/>
        <w:textAlignment w:val="baseline"/>
        <w:rPr>
          <w:rFonts w:ascii="inherit" w:eastAsia="Times New Roman" w:hAnsi="inherit" w:cs="Times New Roman"/>
          <w:sz w:val="23"/>
          <w:szCs w:val="23"/>
          <w:lang w:eastAsia="pt-BR"/>
        </w:rPr>
      </w:pPr>
      <w:r w:rsidRPr="00B015F6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eastAsia="pt-BR"/>
        </w:rPr>
        <w:t xml:space="preserve">A arqueóloga Claudia Cunha pontua que “ainda na fase pioneira, jovens imigrantes recém chegados ao Brasil, que trabalhavam para casas comerciais de judeus estabelecidos em Belém, partiram para a região de Gurupá. A cidade tornou-se nesse período posto avançado destes comerciantes que logo mandavam buscar suas famílias ou noivas em Belém, na Espanha ou no Marrocos. Em Gurupá fixaram-se as famílias: Azulay, </w:t>
      </w:r>
      <w:proofErr w:type="spellStart"/>
      <w:r w:rsidRPr="00B015F6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eastAsia="pt-BR"/>
        </w:rPr>
        <w:t>Serfaty</w:t>
      </w:r>
      <w:proofErr w:type="spellEnd"/>
      <w:r w:rsidRPr="00B015F6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eastAsia="pt-BR"/>
        </w:rPr>
        <w:t xml:space="preserve">, </w:t>
      </w:r>
      <w:proofErr w:type="spellStart"/>
      <w:r w:rsidRPr="00B015F6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eastAsia="pt-BR"/>
        </w:rPr>
        <w:t>Aben-Athar</w:t>
      </w:r>
      <w:proofErr w:type="spellEnd"/>
      <w:r w:rsidRPr="00B015F6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eastAsia="pt-BR"/>
        </w:rPr>
        <w:t xml:space="preserve">, </w:t>
      </w:r>
      <w:proofErr w:type="spellStart"/>
      <w:r w:rsidRPr="00B015F6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eastAsia="pt-BR"/>
        </w:rPr>
        <w:t>Sicsú</w:t>
      </w:r>
      <w:proofErr w:type="spellEnd"/>
      <w:r w:rsidRPr="00B015F6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eastAsia="pt-BR"/>
        </w:rPr>
        <w:t xml:space="preserve">, </w:t>
      </w:r>
      <w:proofErr w:type="spellStart"/>
      <w:r w:rsidRPr="00B015F6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eastAsia="pt-BR"/>
        </w:rPr>
        <w:t>Dabilla</w:t>
      </w:r>
      <w:proofErr w:type="spellEnd"/>
      <w:r w:rsidRPr="00B015F6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eastAsia="pt-BR"/>
        </w:rPr>
        <w:t xml:space="preserve">, </w:t>
      </w:r>
      <w:proofErr w:type="spellStart"/>
      <w:r w:rsidRPr="00B015F6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eastAsia="pt-BR"/>
        </w:rPr>
        <w:t>Alcaim</w:t>
      </w:r>
      <w:proofErr w:type="spellEnd"/>
      <w:r w:rsidRPr="00B015F6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eastAsia="pt-BR"/>
        </w:rPr>
        <w:t>, Castiel, Levy, entre outras”.</w:t>
      </w:r>
    </w:p>
    <w:p w:rsidR="00B015F6" w:rsidRPr="00B015F6" w:rsidRDefault="00B015F6" w:rsidP="00B015F6">
      <w:pPr>
        <w:spacing w:after="0" w:line="240" w:lineRule="auto"/>
        <w:textAlignment w:val="baseline"/>
        <w:rPr>
          <w:rFonts w:ascii="inherit" w:eastAsia="Times New Roman" w:hAnsi="inherit" w:cs="Times New Roman"/>
          <w:sz w:val="23"/>
          <w:szCs w:val="23"/>
          <w:lang w:eastAsia="pt-BR"/>
        </w:rPr>
      </w:pPr>
      <w:r w:rsidRPr="00B015F6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eastAsia="pt-BR"/>
        </w:rPr>
        <w:t>No Brasil atual vive a </w:t>
      </w:r>
      <w:r w:rsidRPr="00B015F6">
        <w:rPr>
          <w:rFonts w:ascii="inherit" w:eastAsia="Times New Roman" w:hAnsi="inherit" w:cs="Times New Roman"/>
          <w:sz w:val="23"/>
          <w:szCs w:val="23"/>
          <w:bdr w:val="none" w:sz="0" w:space="0" w:color="auto" w:frame="1"/>
          <w:lang w:eastAsia="pt-BR"/>
        </w:rPr>
        <w:t>segunda</w:t>
      </w:r>
      <w:r w:rsidRPr="00B015F6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eastAsia="pt-BR"/>
        </w:rPr>
        <w:t xml:space="preserve"> maior população de praticantes da religião judaica na América Latina, mas a quantidade de descendentes dos pioneiros judeus </w:t>
      </w:r>
      <w:proofErr w:type="spellStart"/>
      <w:r w:rsidRPr="00B015F6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eastAsia="pt-BR"/>
        </w:rPr>
        <w:t>sefarditas</w:t>
      </w:r>
      <w:proofErr w:type="spellEnd"/>
      <w:r w:rsidRPr="00B015F6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eastAsia="pt-BR"/>
        </w:rPr>
        <w:t xml:space="preserve"> e </w:t>
      </w:r>
      <w:proofErr w:type="spellStart"/>
      <w:r w:rsidRPr="00B015F6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eastAsia="pt-BR"/>
        </w:rPr>
        <w:t>asquenazes</w:t>
      </w:r>
      <w:proofErr w:type="spellEnd"/>
      <w:r w:rsidRPr="00B015F6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eastAsia="pt-BR"/>
        </w:rPr>
        <w:t xml:space="preserve"> é muito maior. Segundo Simon </w:t>
      </w:r>
      <w:proofErr w:type="spellStart"/>
      <w:r w:rsidRPr="00B015F6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eastAsia="pt-BR"/>
        </w:rPr>
        <w:t>Schwartzman</w:t>
      </w:r>
      <w:proofErr w:type="spellEnd"/>
      <w:r w:rsidRPr="00B015F6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eastAsia="pt-BR"/>
        </w:rPr>
        <w:t>, no final do século XX, os portadores dessa história seriam cerca de 400 mil brasileiros.</w:t>
      </w:r>
    </w:p>
    <w:p w:rsidR="00B015F6" w:rsidRPr="00B015F6" w:rsidRDefault="00B015F6" w:rsidP="00B015F6">
      <w:pPr>
        <w:spacing w:after="0" w:line="240" w:lineRule="auto"/>
        <w:textAlignment w:val="baseline"/>
        <w:rPr>
          <w:rFonts w:ascii="inherit" w:eastAsia="Times New Roman" w:hAnsi="inherit" w:cs="Times New Roman"/>
          <w:sz w:val="23"/>
          <w:szCs w:val="23"/>
          <w:lang w:eastAsia="pt-BR"/>
        </w:rPr>
      </w:pPr>
      <w:r w:rsidRPr="00B015F6">
        <w:rPr>
          <w:rFonts w:ascii="inherit" w:eastAsia="Times New Roman" w:hAnsi="inherit" w:cs="Times New Roman"/>
          <w:noProof/>
          <w:sz w:val="23"/>
          <w:szCs w:val="23"/>
          <w:bdr w:val="none" w:sz="0" w:space="0" w:color="auto" w:frame="1"/>
          <w:lang w:eastAsia="pt-BR"/>
        </w:rPr>
        <mc:AlternateContent>
          <mc:Choice Requires="wps">
            <w:drawing>
              <wp:inline distT="0" distB="0" distL="0" distR="0" wp14:anchorId="4C0FBD56" wp14:editId="7883C3E9">
                <wp:extent cx="2705100" cy="228600"/>
                <wp:effectExtent l="0" t="0" r="0" b="0"/>
                <wp:docPr id="1" name="AutoShape 2" descr="Até agora 29 túmulos já foram inventariad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051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37BB5A" id="AutoShape 2" o:spid="_x0000_s1026" alt="Até agora 29 túmulos já foram inventariados" style="width:213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</w:p>
    <w:p w:rsidR="00B015F6" w:rsidRPr="00B015F6" w:rsidRDefault="00B015F6" w:rsidP="00B015F6">
      <w:pPr>
        <w:spacing w:after="0" w:line="240" w:lineRule="auto"/>
        <w:textAlignment w:val="baseline"/>
        <w:rPr>
          <w:rFonts w:ascii="inherit" w:eastAsia="Times New Roman" w:hAnsi="inherit" w:cs="Times New Roman"/>
          <w:sz w:val="23"/>
          <w:szCs w:val="23"/>
          <w:lang w:eastAsia="pt-BR"/>
        </w:rPr>
      </w:pPr>
      <w:r w:rsidRPr="00B015F6">
        <w:rPr>
          <w:rFonts w:ascii="inherit" w:eastAsia="Times New Roman" w:hAnsi="inherit" w:cs="Times New Roman"/>
          <w:sz w:val="23"/>
          <w:szCs w:val="23"/>
          <w:bdr w:val="none" w:sz="0" w:space="0" w:color="auto" w:frame="1"/>
          <w:lang w:eastAsia="pt-BR"/>
        </w:rPr>
        <w:t>Hoje</w:t>
      </w:r>
      <w:r w:rsidRPr="00B015F6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eastAsia="pt-BR"/>
        </w:rPr>
        <w:t xml:space="preserve">, em Gurupá, os pesquisadores do Museu Goeldi contam que existem descendentes das famílias judaicas, mas, até onde sabem, esses já não praticam a religião judaica. Cássia </w:t>
      </w:r>
      <w:proofErr w:type="spellStart"/>
      <w:r w:rsidRPr="00B015F6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eastAsia="pt-BR"/>
        </w:rPr>
        <w:t>Benathar</w:t>
      </w:r>
      <w:proofErr w:type="spellEnd"/>
      <w:r w:rsidRPr="00B015F6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eastAsia="pt-BR"/>
        </w:rPr>
        <w:t>, professora e historiadora do município, é uma das descendentes das famílias pioneiras que estão engajadas como voluntária na pesquisa e na limpeza da necrópole judaica e estará envolvida nos futuros estudos sobre o espaço.</w:t>
      </w:r>
    </w:p>
    <w:p w:rsidR="00B015F6" w:rsidRPr="00B015F6" w:rsidRDefault="00B015F6" w:rsidP="00B015F6">
      <w:pPr>
        <w:spacing w:after="0" w:line="240" w:lineRule="auto"/>
        <w:textAlignment w:val="baseline"/>
        <w:rPr>
          <w:rFonts w:ascii="inherit" w:eastAsia="Times New Roman" w:hAnsi="inherit" w:cs="Times New Roman"/>
          <w:sz w:val="23"/>
          <w:szCs w:val="23"/>
          <w:lang w:eastAsia="pt-BR"/>
        </w:rPr>
      </w:pPr>
      <w:r w:rsidRPr="00B015F6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eastAsia="pt-BR"/>
        </w:rPr>
        <w:t>A população sabia do local, mas as visitas normalmente restringiam-se a pessoas de fora que ouviam falar do cemitério e visitavam o espaço. Claudia explica que há uma certa resistência a visitar cemitérios, quando a maioria das pessoas não reconhece um parentesco com os mortos. Muitas das lápides estão escritas apenas em hebraico e não havendo quem as leia, não reconhecem o morto como familiar. As sepulturas que estão em português ou nas duas línguas suscitam mais memórias.</w:t>
      </w:r>
    </w:p>
    <w:p w:rsidR="00B015F6" w:rsidRPr="00B015F6" w:rsidRDefault="00B015F6" w:rsidP="00B015F6">
      <w:pPr>
        <w:spacing w:after="0" w:line="240" w:lineRule="auto"/>
        <w:textAlignment w:val="baseline"/>
        <w:rPr>
          <w:rFonts w:ascii="inherit" w:eastAsia="Times New Roman" w:hAnsi="inherit" w:cs="Times New Roman"/>
          <w:sz w:val="23"/>
          <w:szCs w:val="23"/>
          <w:lang w:eastAsia="pt-BR"/>
        </w:rPr>
      </w:pPr>
      <w:r w:rsidRPr="00B015F6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eastAsia="pt-BR"/>
        </w:rPr>
        <w:t xml:space="preserve">“Até há algumas décadas, D. Raimunda </w:t>
      </w:r>
      <w:proofErr w:type="spellStart"/>
      <w:r w:rsidRPr="00B015F6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eastAsia="pt-BR"/>
        </w:rPr>
        <w:t>Sabá</w:t>
      </w:r>
      <w:proofErr w:type="spellEnd"/>
      <w:r w:rsidRPr="00B015F6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eastAsia="pt-BR"/>
        </w:rPr>
        <w:t xml:space="preserve"> tomava conta do cemitério na sua vizinhança, mas já está idosa. Esporadicamente, descendentes tentam cuidar dos túmulos de familiares”, explica Claudia Cunha. Por sua vez, a prefeitura de Gurupá cortou recentemente parte da vegetação invasora da necrópole a pedido dos vizinhos, que o viam se tornar um local de consumo de álcool e drogas. “No nosso primeiro dia para conhecer e investigar o cemitério, retiramos montes (literalmente) de folhas e galhos cortados pela prefeitura durante a última capina do local e três sacos de 100 litros de lixo composto na sua maioria de plástico, papel e vidro”, relembra a arqueóloga.</w:t>
      </w:r>
    </w:p>
    <w:p w:rsidR="00B015F6" w:rsidRPr="00B015F6" w:rsidRDefault="00B015F6" w:rsidP="00B015F6">
      <w:pPr>
        <w:spacing w:after="0" w:line="240" w:lineRule="auto"/>
        <w:textAlignment w:val="baseline"/>
        <w:rPr>
          <w:rFonts w:ascii="inherit" w:eastAsia="Times New Roman" w:hAnsi="inherit" w:cs="Times New Roman"/>
          <w:sz w:val="23"/>
          <w:szCs w:val="23"/>
          <w:lang w:eastAsia="pt-BR"/>
        </w:rPr>
      </w:pPr>
      <w:r w:rsidRPr="00B015F6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eastAsia="pt-BR"/>
        </w:rPr>
        <w:t xml:space="preserve">Dominando fluentemente o inglês e o francês, os imigrantes judeus se tornaram exportadores, liderando negócios no exterior, participando de congressos e exposições. Segundo Samuel </w:t>
      </w:r>
      <w:proofErr w:type="spellStart"/>
      <w:r w:rsidRPr="00B015F6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eastAsia="pt-BR"/>
        </w:rPr>
        <w:t>Benchimol</w:t>
      </w:r>
      <w:proofErr w:type="spellEnd"/>
      <w:r w:rsidRPr="00B015F6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eastAsia="pt-BR"/>
        </w:rPr>
        <w:t>, “na época da crise da borracha, quando os exportadores ingleses, alemães e franceses abandonaram Manaus e Belém, coube aos judeus marroquinos brasileiros substituí-los nessas funções, fornecendo à sociedade local a liderança econômica e social necessária para sobreviver nas décadas de depressão e débâcle da borracha”.</w:t>
      </w:r>
    </w:p>
    <w:p w:rsidR="00B015F6" w:rsidRPr="00B015F6" w:rsidRDefault="00B015F6" w:rsidP="00B015F6">
      <w:pPr>
        <w:spacing w:after="0" w:line="240" w:lineRule="auto"/>
        <w:textAlignment w:val="baseline"/>
        <w:rPr>
          <w:rFonts w:ascii="inherit" w:eastAsia="Times New Roman" w:hAnsi="inherit" w:cs="Times New Roman"/>
          <w:sz w:val="23"/>
          <w:szCs w:val="23"/>
          <w:lang w:eastAsia="pt-BR"/>
        </w:rPr>
      </w:pPr>
      <w:r w:rsidRPr="00B015F6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eastAsia="pt-BR"/>
        </w:rPr>
        <w:t>Com as escavações na necrópole judaica do município de Gurupá teremos a chance de conhecer e entender mais um pouco da saga dos imigrantes pioneiros que ajudaram a escrever a história recente da Amazônia.</w:t>
      </w:r>
    </w:p>
    <w:p w:rsidR="00B015F6" w:rsidRPr="00B015F6" w:rsidRDefault="00B015F6" w:rsidP="00B015F6">
      <w:pPr>
        <w:spacing w:after="0" w:line="240" w:lineRule="auto"/>
        <w:textAlignment w:val="baseline"/>
        <w:rPr>
          <w:rFonts w:ascii="inherit" w:eastAsia="Times New Roman" w:hAnsi="inherit" w:cs="Times New Roman"/>
          <w:sz w:val="23"/>
          <w:szCs w:val="23"/>
          <w:lang w:eastAsia="pt-BR"/>
        </w:rPr>
      </w:pPr>
      <w:r w:rsidRPr="00B015F6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eastAsia="pt-BR"/>
        </w:rPr>
        <w:t>Texto: Joice Santos.</w:t>
      </w:r>
    </w:p>
    <w:p w:rsidR="00B015F6" w:rsidRPr="00B015F6" w:rsidRDefault="00B015F6" w:rsidP="00B015F6">
      <w:pPr>
        <w:spacing w:after="0" w:line="240" w:lineRule="auto"/>
        <w:textAlignment w:val="baseline"/>
        <w:rPr>
          <w:rFonts w:ascii="inherit" w:eastAsia="Times New Roman" w:hAnsi="inherit" w:cs="Times New Roman"/>
          <w:sz w:val="23"/>
          <w:szCs w:val="23"/>
          <w:lang w:eastAsia="pt-BR"/>
        </w:rPr>
      </w:pPr>
      <w:r w:rsidRPr="00B015F6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eastAsia="pt-BR"/>
        </w:rPr>
        <w:t>VER MAIS EM: </w:t>
      </w:r>
      <w:hyperlink r:id="rId10" w:history="1">
        <w:r w:rsidRPr="00B015F6">
          <w:rPr>
            <w:rFonts w:ascii="inherit" w:eastAsia="Times New Roman" w:hAnsi="inherit" w:cs="Times New Roman"/>
            <w:color w:val="333333"/>
            <w:sz w:val="23"/>
            <w:szCs w:val="23"/>
            <w:u w:val="single"/>
            <w:bdr w:val="none" w:sz="0" w:space="0" w:color="auto" w:frame="1"/>
            <w:lang w:eastAsia="pt-BR"/>
          </w:rPr>
          <w:t>Agência Museu Goeldi</w:t>
        </w:r>
      </w:hyperlink>
      <w:r w:rsidRPr="00B015F6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eastAsia="pt-BR"/>
        </w:rPr>
        <w:t> </w:t>
      </w:r>
    </w:p>
    <w:p w:rsidR="00B015F6" w:rsidRPr="00B015F6" w:rsidRDefault="00B015F6" w:rsidP="00B015F6">
      <w:pPr>
        <w:spacing w:after="384" w:line="240" w:lineRule="auto"/>
        <w:textAlignment w:val="baseline"/>
        <w:rPr>
          <w:rFonts w:ascii="inherit" w:eastAsia="Times New Roman" w:hAnsi="inherit" w:cs="Times New Roman"/>
          <w:sz w:val="23"/>
          <w:szCs w:val="23"/>
          <w:lang w:eastAsia="pt-BR"/>
        </w:rPr>
      </w:pPr>
      <w:r w:rsidRPr="00B015F6">
        <w:rPr>
          <w:rFonts w:ascii="inherit" w:eastAsia="Times New Roman" w:hAnsi="inherit" w:cs="Times New Roman"/>
          <w:sz w:val="23"/>
          <w:szCs w:val="23"/>
          <w:lang w:eastAsia="pt-BR"/>
        </w:rPr>
        <w:t> </w:t>
      </w:r>
    </w:p>
    <w:p w:rsidR="00B015F6" w:rsidRPr="00B015F6" w:rsidRDefault="00B015F6" w:rsidP="00B015F6">
      <w:pPr>
        <w:spacing w:after="384" w:line="240" w:lineRule="auto"/>
        <w:textAlignment w:val="baseline"/>
        <w:rPr>
          <w:rFonts w:ascii="inherit" w:eastAsia="Times New Roman" w:hAnsi="inherit" w:cs="Times New Roman"/>
          <w:sz w:val="23"/>
          <w:szCs w:val="23"/>
          <w:lang w:eastAsia="pt-BR"/>
        </w:rPr>
      </w:pPr>
      <w:r w:rsidRPr="00B015F6">
        <w:rPr>
          <w:rFonts w:ascii="inherit" w:eastAsia="Times New Roman" w:hAnsi="inherit" w:cs="Times New Roman"/>
          <w:sz w:val="23"/>
          <w:szCs w:val="23"/>
          <w:lang w:eastAsia="pt-BR"/>
        </w:rPr>
        <w:t> </w:t>
      </w:r>
    </w:p>
    <w:p w:rsidR="00B015F6" w:rsidRPr="00B015F6" w:rsidRDefault="00B015F6" w:rsidP="00B015F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B015F6">
        <w:rPr>
          <w:rFonts w:ascii="Arial" w:eastAsia="Times New Roman" w:hAnsi="Arial" w:cs="Arial"/>
          <w:vanish/>
          <w:sz w:val="16"/>
          <w:szCs w:val="16"/>
          <w:lang w:eastAsia="pt-BR"/>
        </w:rPr>
        <w:t>Parte inferior do formulário</w:t>
      </w:r>
    </w:p>
    <w:p w:rsidR="00B61BE0" w:rsidRDefault="00B61BE0"/>
    <w:sectPr w:rsidR="00B61B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F974C1"/>
    <w:multiLevelType w:val="multilevel"/>
    <w:tmpl w:val="B0706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5F6"/>
    <w:rsid w:val="00B015F6"/>
    <w:rsid w:val="00B6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016FCC-F3C4-4297-A82B-5370398CC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3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7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05034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44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90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2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552068">
          <w:marLeft w:val="950"/>
          <w:marRight w:val="950"/>
          <w:marTop w:val="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7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eu-goeldi.br/portal/content/come-aram-escava-es-no-forte-de-santo-ant-nio-de-gurup-no-maraj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uscatextual.cnpq.br/buscatextual/visualizacv.do?id=K4202283T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scatextual.cnpq.br/buscatextual/visualizacv.do?id=K4787257D9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buscatextual.cnpq.br/buscatextual/visualizacv.do?id=K4184231T0" TargetMode="External"/><Relationship Id="rId10" Type="http://schemas.openxmlformats.org/officeDocument/2006/relationships/hyperlink" Target="http://www.museu-goeldi.br/portal/noticias/ag%C3%AAncia-museu-goeld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uscatextual.cnpq.br/buscatextual/visualizacv.do?id=K4280682D4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1263</Words>
  <Characters>6824</Characters>
  <Application>Microsoft Office Word</Application>
  <DocSecurity>0</DocSecurity>
  <Lines>56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Estudos na maior necrópole judaica do Ciclo da Borracha em Gurupá (PA)</vt:lpstr>
      <vt:lpstr/>
    </vt:vector>
  </TitlesOfParts>
  <Company/>
  <LinksUpToDate>false</LinksUpToDate>
  <CharactersWithSpaces>8071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1</cp:revision>
  <dcterms:created xsi:type="dcterms:W3CDTF">2021-02-20T14:06:00Z</dcterms:created>
  <dcterms:modified xsi:type="dcterms:W3CDTF">2021-02-20T14:10:00Z</dcterms:modified>
</cp:coreProperties>
</file>